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C3" w:rsidRDefault="00B415C3" w:rsidP="00C54FB2">
      <w:pPr>
        <w:spacing w:after="280" w:line="276" w:lineRule="auto"/>
        <w:ind w:left="18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06C41">
        <w:rPr>
          <w:rFonts w:ascii="Arial" w:eastAsia="Times New Roman" w:hAnsi="Arial" w:cs="Arial"/>
          <w:sz w:val="28"/>
          <w:szCs w:val="28"/>
          <w:lang w:eastAsia="pl-PL"/>
        </w:rPr>
        <w:t>OGŁOSZENIE O ZAMÓWIENIU - usługi</w:t>
      </w:r>
    </w:p>
    <w:p w:rsidR="00906C41" w:rsidRPr="00906C41" w:rsidRDefault="00906C41" w:rsidP="00C54FB2">
      <w:pPr>
        <w:spacing w:after="280" w:line="276" w:lineRule="auto"/>
        <w:ind w:left="180" w:firstLine="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Solec nad Wisłą: Odbiór i zagospodarowanie odpadów komunalnych od właścicieli nieruchomości zamieszkałych z gminy Solec nad Wisłą</w:t>
      </w:r>
      <w:r w:rsidRPr="00906C4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06C4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166512 - 2013; data zamieszczenia: 25.04.2013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906C41" w:rsidRPr="00906C41" w:rsidRDefault="00906C41" w:rsidP="00C54FB2">
      <w:pPr>
        <w:spacing w:before="300" w:after="180" w:line="276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Solcu nad Wisłą , ul. Rynek 1, 27-320 Solec nad Wisłą, woj. mazowieckie, tel. 048 3761266, 3761257, faks 048 3761266.</w:t>
      </w:r>
      <w:r w:rsidR="00C54F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06C41">
        <w:rPr>
          <w:rFonts w:ascii="Arial" w:eastAsia="Times New Roman" w:hAnsi="Arial" w:cs="Arial"/>
          <w:bCs/>
          <w:sz w:val="20"/>
          <w:szCs w:val="20"/>
          <w:lang w:eastAsia="pl-PL"/>
        </w:rPr>
        <w:t>Adres strony internetowej zamawiającego: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www.solec.pl, www.bip.solec.pl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906C41" w:rsidRPr="00906C41" w:rsidRDefault="00906C41" w:rsidP="00C54FB2">
      <w:pPr>
        <w:spacing w:before="300" w:after="180" w:line="276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Odbiór i zagospodarowanie odpadów komunalnych od właścicieli nieruchomości zamieszkałych z gminy Solec nad Wisłą.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odbieranie i zagospodarowanie wskazanych w opisie zamówienia rodzajów odpadów komunalnych od właścicieli nieruchomości zamieszkałych z gminy Solec nad Wisłą. Oferty nie zawierające pełnego zakresu przedmiotu zamówienia zostaną odrzucone. Charakterystyka gminy Solec nad Wisłą Powierzchnia gminy wynosi 12 983 ha. Liczba mieszkańców gminy - stan na 31 marca 2013 r.: 5.578 osób. Ludność w poprzednich latach: 31.12.2010: 5.780, 31.12.2011: 5.702, 31.12.2011: 5.620 Dane zawierają liczbę osób zameldowanych na pobyt stały i czasowy, wg danych z ewidencji ludności Urzędu Gminy w Solcu nad Wisłą Orientacyjna liczba gospodarstw domowych : 1545 Ilość wytwarzanych odpadów w gminie: 2010 r. selektywnie (w punktach wyznaczonych w sołectwach) : 29,13 Mg, niesegregowane: 360,80 Mg 2011 r. selektywnie (w punktach wyznaczonych w sołectwach) : 31,96 Mg, niesegregowane : 340,0 Mg 2012 r. selektywnie (w punktach wyznaczonych w sołectwach) : 42,37 Mg, niesegregowane : 336,73 Mg Szczegółowy opis przedmiotu zamówienia Przedmiotem zamówienia jest odbiór i zagospodarowanie odpadów komunalnych od właścicieli nieruchomości zamieszkałych z gminy Solec nad Wisłą z następujących sołectw: Boiska, Boiska Kolonia, Dziurków, Kłudzie, Kolonia Nadwiślańska, Pawłowice, Przedmieście Bliższe, Przedmieście Dalsze, Solec nad Wisłą, Kępa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Piotrowińska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, Kalinówek Sadkowice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Sadkowice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, Kolonia Wola Pawłowska,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Zemborzyn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Pierwszy, Słuszczyn,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Zemborzyn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Drugi, Las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Gliniański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, Glina, Marianów,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Zemborzyn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Kolonia. Przedmiot zamówienia obejmuje odbiór wszystkich odpadów komunalnych gromadzonych w sposób selektywny jak i zmieszanych i ich unieszkodliwianie w instalacjach wskazanych w uchwale Sejmiku Województwa Mazowieckiego z dnia 22 października 2012 Nr 211-12 w sprawie uchwalenia Wojewódzkiego Planu Gospodarki Odpadami dla Mazowsza na lata 2012-2017 z uwzględnieniem lat 2018-2023 z załącznikami oraz uchwale Nr 212-12 w sprawie wykonania Wojewódzkiego Planu Gospodarki Odpadami dla Mazowsza na lata 2012-2017 z uwzględnieniem lat 2018-2023. W przypadku gdy Sejmik Województwa Mazowieckiego rozszerzy i zatwierdzi nową listę instalacji regionalnych do obsługi Regionu Radomskiego lub wejdą w życie przepisy prawne regulujące inny sposób przekazywania odpadów do instalacji regionalnych, odebrane od właścicieli nieruchomości zmieszane odpady 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komunalne, odpady zielone oraz pozostałości z sortowania odpadów komunalnych będą mogły być przekazane do nowych Regionalnych Instalacji Przetwarzania Odpadów Komunalnych. Zmieszane odpady komunalne, odpady ulegające biodegradacji w tym zielone oraz pozostałości z sortowania, przeznaczone do składowania, należy przekazać do regionalnej instalacji przetwarzana odpadów komunalnych zgodnie z ww. przepisami. W gminie Solec nad Wisłą obowiązywać będzie system mieszany zbiórki odpadów komunalnych (worki i pojemniki) zmieszanych i segregowanych. Obowiązkiem Wykonawcy jest zaopatrzenie właścicieli nieruchomości w worki na zbieranie odpadów (w cenie oferty) oraz powinien stworzenie możliwości zakupu/wydzierżawienia pojemników w których będą gromadzone odpady za odrębną opłatą wnoszoną przez podmioty zainteresowane. Przedmiot zamówienia obejmuje: odbiór i zagospodarowanie niesegregowanych, zmieszanych odpadów komunalnych oraz pozostałości z segregowania 1 raz w miesiącu gromadzonych w następujący sposób : z gospodarstw domowych pojemnikach o pojemności 120 l oraz odbiór i zagospodarowanie segregowanych odpadów komunalnych 1 raz na kwartał gromadzonych w 4 rodzajach worków: NIEBIESKI - z przeznaczeniem na papier, tekturę ŻÓŁTY - z przeznaczeniem na tworzywa sztuczne, drobne metale, opakowania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wielomateriałowe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ZIELONY - z przeznaczeniem na szkło i opakowania szklane. BRĄZOWY - z przeznaczeniem na odpady ulegające biodegradacji, zielone. Przewidywaną ilość niezbędnych worków oraz charakterystykę określono poniżej. Wykonawca zobowiązany jest opracować szczegółowy harmonogram odbioru odpadów z podziałem na frakcje, który należy uzgodnić z pracownikiem Urzędu Gminy odpowiedzialnym za prowadzenie spraw gospodarki odpadami, wpisanym do umowy. Tworzy się punkt selektywnej zbiórki przy Zakładzie Usług Komunalnych w Solcu nad Wisłą przy Al. Kazimierza Wielkiego 5 Wykonawca zobowiązany będzie dostarczyć i ustawić w wyznaczonym punkcie pojemniki na : przeterminowane leki, chemikalia inne odpady niebezpieczne wydzielone ze strumienia odpadów komunalnych Pojemniki powinny posiadać zamknięcie uniemożliwiające otwarcie przez nieuprawnione osoby. Wykonane z trwałego materiału z umieszczonym napisem informującym o rodzaju odpadów. Wykonawca zobowiązany będzie w godzinach pracy Zakładu Usług Komunalnych monitorować stan zapełnienia pojemników i odbierać odpady w takiej częstotliwości, aby nie powodowało to przepełnienia tych pojemników, jednak nie rzadziej niż raz na kwartał. Do punktu selektywnej zbiórki będzie można przekazywać również odpady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wielkogabarytowe,opony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i odpady budowlane i rozbiórkowe w workach typu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big-bag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. Odbiór tych odpadów z punktu selektywnej zbiórki będzie dokonywany na zgłoszenie zamawiającego. Dodatkowo odbiór odpadów wielkogabarytowych i opon będzie dokonywany bezpośrednio sprzed posesji (wystawka) raz na 6 miesięcy. Termin odbioru powyższych odpadów zostanie ustalony przez Zamawiającego z Wykonawcą i zapisany w harmonogramie na dany rok kalendarzowy. Charakterystyka worków do zbiórki odpadów komunalnych zmieszanych i segregowanych: materiał - folia LDPE, pojemność - 120 l grubość co najmniej 120 mikronów. Przewidywana Liczba worków do selektywnej zbiórki odpadów (na okres 18 miesięcy): niebieski - ok. 28 000 szt. żółty - ok. 28 000 szt. zielony - ok. 28 000 szt. brązowy - ok. 28 000 szt. Łącznie ok. 110 tys. worków. Zamawiający wymaga zabezpieczenia worków w poszczególnych kolorach w ilości 3 % powyższego szacunku, które zostaną złożone w siedzibie Zamawiającego przed rozpoczęciem terminu realizacji usługi. W okresie świadczenia usługi przewiduje się wywóz ok. 750 t odpadów w tym: odpady niesegregowane 225 t - odbiór z posesji raz w miesiącu papier tektura 75 t - odbiór z posesji raz na kwartał, plastik, metal, odpady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wielomateriałowe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250 t - odbiór z posesji raz na kwartał, szkło 120 t - odbiór z posesji raz na kwartał, odpady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biodegradowalne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20 t - odbiór z posesji raz na kwartał, odpady wielkogabarytowe, opony i odpady budowlane 30 t - odbierane z punktu selektywnej zbiórki ustanowionego w Solcu nad Wisłą na zgłoszenie Zamawiającego, chemikalia i inne odpady niebezpieczne 10 t - odbierane z punktu selektywnej zbiórki ustanowionego w Solcu nad Wisłą na zgłoszenie Zamawiającego, odpady budowlane i rozbiórkowe w workach typu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BIG-BAG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20 t - odbierane z punktu selektywnej zbiórki ustanowionego w Solcu nad Wisłą na zgłoszenie Zamawiającego. Podane ilości są szacunkowe i mogą ulec zmianie stosownie do rzeczywistych potrzeb Zamawiającego uwzględniając ilość odpadów wytworzonych przez gospodarstwa domowe. Podane wyżej ilości odpadów należy traktować jako orientacyjne. Obowiązki Wykonawcy przed rozpoczęciem i w trakcie realizacji zamówienia Wykonawca dostarczy właścicielom nieruchomości zamieszkałych, od których 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będą odbierane odpady na terenie gminy Solec nad Wisłą na co najmniej 14 dni przed dniem obowiązywania umowy co najmniej dwa worki na każdy rodzaj zbieranych odpadów w przeliczeniu na każde gospodarstwo. Przy odbiorze odpadów Wykonawca każdorazowo będzie dostarczał co najmniej tyle worków ile odbierze worków z odpadami. W sezonie zimowym odbiór odpadów komunalnych odbywać się będzie z dróg objętych stałym zimowym utrzymaniem bez względu na warunki pogodowe, natomiast z pozostałych dróg gdy ze względu na nieprzejezdność, niemożliwy będzie odbiór i wywóz odpadów Wykonawca zobowiązany jest do ich odbioru w terminie do 2 dni od dnia w którym drogi staną się przejezdne. Wykonawca zobowiązany jest poinformować zamawiającego o fakcie i przyczynie nie odebrania odpadów z poszczególnych sołectw. Usługa będzie wykonywana w dni robocze (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pon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>.- pt.) w godzinach od 7:00 do 20:00. Załadunek jak i transport odpadów będzie odbywał się za pomocą odpowiedniego sprzętu oraz środków transportu, które muszą być w dyspozycji Wykonawcy. Wykonawca zobowiązany będzie do monitorowania obowiązku ciążącego na właścicielu nieruchomości w zakresie selektywnego zbierania odpadów komunalnych. W przypadku stwierdzenia podczas odbioru odpadów, że właściciel nieruchomości nie wywiązuje się z obowiązku w zakresie segregacji odpadów (np. gdy w worku przeznaczonym na odpady segregowane będą znajdować się odpady zmieszane, gdy w worku przeznaczonym na daną frakcję odpadów segregowanych będą znajdować się odpady innej frakcji) Wykonawca zobowiązany będzie w terminie 2 dni roboczych od dnia zaistnienia opisanej powyżej sytuacji do pisemnego (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faxem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lub drogą elektroniczną) poinformowania Zamawiającego o niewywiązaniu się z obowiązków segregacji odpadów przez właściciela nieruchomości. Do informacji Wykonawca zobowiązany będzie załączyć dokumentację fotograficzną i protokół z zaistnienia takiego zdarzenia. Z dokumentacji musi jednoznacznie wynikać, jakiej dotyczy nieruchomości, w jakim dniu i o jakiej godzinie doszło do ustalenia ww. zdarzenia. Wykonawca będzie dostarczać Zamawiającemu kwartalne sprawozdania zgodnie z ustawą o utrzymaniu czystości i porządku w gminach. Za szkody w majątku Zamawiającego, właścicieli posesji lub osób trzecich powstałe w efekcie wykonywania usługi odbioru odpadów odpowiedzialność ponosi Wykonawca. W trakcie trwania umowy w uzasadnionym przypadku Zamawiający na wniosek mieszkańców może żądać zmiany harmonogramu wywozu odpadów komunalnych. Wykonawca odbierający odpady komunalne jest obowiązany spełnić wymagania dla podmiotu odbierającego odpady komunalne od właścicieli nieruchomości zgodnie z rozporządzeniem Ministra Środowiska w sprawie szczegółowych wymagań w zakresie odbierania odpadów komunalnych od właścicieli nieruchomości z dnia 11 stycznia 2013r.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. z 2013 r. poz. 122 Wykonawca w trakcie obowiązywania umowy zobowiązany jest do przestrzegania obowiązujących przepisów prawnych, a w szczególności: ustawy z dnia 14 grudnia 2012 r. o odpadach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. z 2013 r. poz. 21, ustawy z dnia 13 września 1996r.o utrzymaniu czystości i porządku w gminach (tekst jednolity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. z 2012 r., poz.391 z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poźn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. zm. Dodatkowym obowiązkiem Wykonawcy jest wykonanie co najmniej 1 raz w każdym roku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kalendarzowymulotki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informacyjnej (edukacyjnej) promującej prawidłowy sposób selektywnego zbierania odpadów oraz rozpowszechnienie jej, tak aby każdy od kogo odpady są odbierane mógł się z nią zapoznać (np. na harmonogramie wywozu odpadów, poprzez wrzucenie do opróżnionego pojemnika na odpady). Przed wydaniem ulotki należy skonsultować jej treść z pracownikiem Urzędu Gminy odpowiedzialnym za prowadzenie spraw gospodarki odpadami, wpisanym do umowy..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906C41" w:rsidRPr="00906C41" w:rsidRDefault="00906C41" w:rsidP="00C54FB2">
      <w:pPr>
        <w:numPr>
          <w:ilvl w:val="0"/>
          <w:numId w:val="2"/>
        </w:numPr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06C41" w:rsidRPr="00906C41" w:rsidRDefault="00906C41" w:rsidP="00C54FB2">
      <w:pPr>
        <w:numPr>
          <w:ilvl w:val="0"/>
          <w:numId w:val="2"/>
        </w:numPr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Przewiduje się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udzieleniew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okresie 3 lat od udzielenia zamówienia podstawowego, dotychczasowemu wykonawcy zamówień uzupełniających, stanowiących nie więcej niż 50 % wartości zamówienia podstawowego i polegających na powtórzeniu tego samego rodzaju zamówień - usługi odbioru i zagospodarowania odpadów komunalnych od właścicieli nieruchomości zamieszkałych z gminy Solec nad Wisłą.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90.50.00.00-2.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II.1.8) Czy dopuszcza się złożenie oferty wariantowej: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06C41" w:rsidRPr="00906C41" w:rsidRDefault="00906C41" w:rsidP="00C54FB2">
      <w:pPr>
        <w:spacing w:line="276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31.12.2014.</w:t>
      </w:r>
    </w:p>
    <w:p w:rsidR="00906C41" w:rsidRPr="00906C41" w:rsidRDefault="00906C41" w:rsidP="00C54FB2">
      <w:pPr>
        <w:spacing w:before="300" w:after="180" w:line="276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Nie dotyczy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  <w:r w:rsidR="00C54F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C54FB2" w:rsidRPr="00C54FB2">
        <w:rPr>
          <w:rFonts w:ascii="Arial" w:eastAsia="Times New Roman" w:hAnsi="Arial" w:cs="Arial"/>
          <w:bCs/>
          <w:sz w:val="20"/>
          <w:szCs w:val="20"/>
          <w:lang w:eastAsia="pl-PL"/>
        </w:rPr>
        <w:t>Nie przewiduje się.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06C41" w:rsidRPr="00906C41" w:rsidRDefault="00906C41" w:rsidP="00C54FB2">
      <w:pPr>
        <w:numPr>
          <w:ilvl w:val="0"/>
          <w:numId w:val="3"/>
        </w:numPr>
        <w:spacing w:line="276" w:lineRule="auto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06C41" w:rsidRPr="00906C41" w:rsidRDefault="00906C41" w:rsidP="00C54FB2">
      <w:pPr>
        <w:spacing w:line="276" w:lineRule="auto"/>
        <w:ind w:left="5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06C41" w:rsidRPr="00906C41" w:rsidRDefault="00906C41" w:rsidP="00C54FB2">
      <w:pPr>
        <w:numPr>
          <w:ilvl w:val="1"/>
          <w:numId w:val="3"/>
        </w:numPr>
        <w:spacing w:line="276" w:lineRule="auto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>Ocena spełniania warunku udziału w postępowaniu będzie dokonana na podstawie załączonych dokumentów poprzez zastosowanie formuły spełnia/nie spełnia.</w:t>
      </w:r>
    </w:p>
    <w:p w:rsidR="00906C41" w:rsidRPr="00906C41" w:rsidRDefault="00906C41" w:rsidP="00C54FB2">
      <w:pPr>
        <w:numPr>
          <w:ilvl w:val="0"/>
          <w:numId w:val="3"/>
        </w:numPr>
        <w:spacing w:line="276" w:lineRule="auto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906C41" w:rsidRPr="00906C41" w:rsidRDefault="00906C41" w:rsidP="00C54FB2">
      <w:pPr>
        <w:spacing w:line="276" w:lineRule="auto"/>
        <w:ind w:left="5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06C41" w:rsidRPr="00906C41" w:rsidRDefault="00906C41" w:rsidP="00C54FB2">
      <w:pPr>
        <w:numPr>
          <w:ilvl w:val="1"/>
          <w:numId w:val="3"/>
        </w:numPr>
        <w:spacing w:line="276" w:lineRule="auto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>Ocena spełniania warunku udziału w postępowaniu będzie dokonana na podstawie złożonego wykazu usług poprzez zastosowanie formuły spełnia/nie spełnia.</w:t>
      </w:r>
    </w:p>
    <w:p w:rsidR="00906C41" w:rsidRPr="00906C41" w:rsidRDefault="00906C41" w:rsidP="00C54FB2">
      <w:pPr>
        <w:numPr>
          <w:ilvl w:val="0"/>
          <w:numId w:val="3"/>
        </w:numPr>
        <w:spacing w:line="276" w:lineRule="auto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906C41" w:rsidRPr="00906C41" w:rsidRDefault="00906C41" w:rsidP="00C54FB2">
      <w:pPr>
        <w:spacing w:line="276" w:lineRule="auto"/>
        <w:ind w:left="5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06C41" w:rsidRPr="00906C41" w:rsidRDefault="00906C41" w:rsidP="00C54FB2">
      <w:pPr>
        <w:numPr>
          <w:ilvl w:val="1"/>
          <w:numId w:val="3"/>
        </w:numPr>
        <w:spacing w:line="276" w:lineRule="auto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>Ocena spełniania warunku udziału w postępowaniu będzie dokonana na podstawie złożonego oświadczenia o spełnianiu warunków udziału poprzez zastosowanie formuły spełnia/nie spełnia</w:t>
      </w:r>
    </w:p>
    <w:p w:rsidR="00906C41" w:rsidRPr="00906C41" w:rsidRDefault="00906C41" w:rsidP="00C54FB2">
      <w:pPr>
        <w:numPr>
          <w:ilvl w:val="0"/>
          <w:numId w:val="3"/>
        </w:numPr>
        <w:spacing w:line="276" w:lineRule="auto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906C41" w:rsidRPr="00906C41" w:rsidRDefault="00906C41" w:rsidP="00C54FB2">
      <w:pPr>
        <w:spacing w:line="276" w:lineRule="auto"/>
        <w:ind w:left="5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06C41" w:rsidRPr="00906C41" w:rsidRDefault="00906C41" w:rsidP="00C54FB2">
      <w:pPr>
        <w:numPr>
          <w:ilvl w:val="1"/>
          <w:numId w:val="3"/>
        </w:numPr>
        <w:spacing w:line="276" w:lineRule="auto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>Nie dotyczy</w:t>
      </w:r>
    </w:p>
    <w:p w:rsidR="00906C41" w:rsidRPr="00906C41" w:rsidRDefault="00906C41" w:rsidP="00C54FB2">
      <w:pPr>
        <w:numPr>
          <w:ilvl w:val="0"/>
          <w:numId w:val="3"/>
        </w:numPr>
        <w:spacing w:line="276" w:lineRule="auto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906C41" w:rsidRPr="00906C41" w:rsidRDefault="00906C41" w:rsidP="00C54FB2">
      <w:pPr>
        <w:spacing w:line="276" w:lineRule="auto"/>
        <w:ind w:left="5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06C41" w:rsidRPr="00906C41" w:rsidRDefault="00906C41" w:rsidP="00C54FB2">
      <w:pPr>
        <w:numPr>
          <w:ilvl w:val="1"/>
          <w:numId w:val="3"/>
        </w:numPr>
        <w:spacing w:line="276" w:lineRule="auto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>Ocena spełniania warunku udziału w postępowaniu będzie dokonana na podstawie złożonego dokumentu potwierdzającego posiadanie ubezpieczenia poprzez zastosowanie formuły spełnia/nie spełnia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06C41" w:rsidRPr="00906C41" w:rsidRDefault="00906C41" w:rsidP="00C54FB2">
      <w:pPr>
        <w:numPr>
          <w:ilvl w:val="0"/>
          <w:numId w:val="4"/>
        </w:numPr>
        <w:spacing w:before="100" w:beforeAutospacing="1" w:after="144" w:line="276" w:lineRule="auto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906C41" w:rsidRPr="00906C41" w:rsidRDefault="00906C41" w:rsidP="00C54FB2">
      <w:pPr>
        <w:numPr>
          <w:ilvl w:val="0"/>
          <w:numId w:val="4"/>
        </w:numPr>
        <w:spacing w:before="100" w:beforeAutospacing="1" w:after="144" w:line="276" w:lineRule="auto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wykonane, oraz załączeniem dowodów, czy zostały wykonane lub są wykonywane należycie; </w:t>
      </w:r>
    </w:p>
    <w:p w:rsidR="00906C41" w:rsidRPr="00906C41" w:rsidRDefault="00906C41" w:rsidP="00C54FB2">
      <w:pPr>
        <w:numPr>
          <w:ilvl w:val="0"/>
          <w:numId w:val="4"/>
        </w:numPr>
        <w:spacing w:before="100" w:beforeAutospacing="1" w:after="144" w:line="276" w:lineRule="auto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06C41" w:rsidRPr="00906C41" w:rsidRDefault="00906C41" w:rsidP="00C54FB2">
      <w:pPr>
        <w:numPr>
          <w:ilvl w:val="0"/>
          <w:numId w:val="5"/>
        </w:numPr>
        <w:spacing w:line="276" w:lineRule="auto"/>
        <w:ind w:left="714" w:right="23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906C41" w:rsidRPr="00906C41" w:rsidRDefault="00906C41" w:rsidP="00C54FB2">
      <w:pPr>
        <w:numPr>
          <w:ilvl w:val="0"/>
          <w:numId w:val="5"/>
        </w:numPr>
        <w:spacing w:line="276" w:lineRule="auto"/>
        <w:ind w:left="714" w:right="23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906C41" w:rsidRPr="00906C41" w:rsidRDefault="00906C41" w:rsidP="00C54FB2">
      <w:pPr>
        <w:numPr>
          <w:ilvl w:val="0"/>
          <w:numId w:val="5"/>
        </w:numPr>
        <w:spacing w:line="276" w:lineRule="auto"/>
        <w:ind w:left="714" w:right="23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906C41" w:rsidRPr="00906C41" w:rsidRDefault="00906C41" w:rsidP="00C54FB2">
      <w:pPr>
        <w:numPr>
          <w:ilvl w:val="0"/>
          <w:numId w:val="5"/>
        </w:numPr>
        <w:spacing w:line="276" w:lineRule="auto"/>
        <w:ind w:left="714" w:right="23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906C41" w:rsidRPr="00906C41" w:rsidRDefault="00906C41" w:rsidP="00C54FB2">
      <w:pPr>
        <w:numPr>
          <w:ilvl w:val="0"/>
          <w:numId w:val="5"/>
        </w:numPr>
        <w:spacing w:line="276" w:lineRule="auto"/>
        <w:ind w:left="714" w:right="23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906C41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III.4.2. 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06C41" w:rsidRPr="00906C41" w:rsidRDefault="00906C41" w:rsidP="00C54FB2">
      <w:pPr>
        <w:numPr>
          <w:ilvl w:val="0"/>
          <w:numId w:val="6"/>
        </w:numPr>
        <w:spacing w:line="276" w:lineRule="auto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906C41" w:rsidRPr="00906C41" w:rsidRDefault="00906C41" w:rsidP="00C54FB2">
      <w:pPr>
        <w:numPr>
          <w:ilvl w:val="0"/>
          <w:numId w:val="6"/>
        </w:numPr>
        <w:spacing w:line="276" w:lineRule="auto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06C41" w:rsidRPr="00906C41" w:rsidRDefault="00906C41" w:rsidP="00C54FB2">
      <w:pPr>
        <w:numPr>
          <w:ilvl w:val="0"/>
          <w:numId w:val="7"/>
        </w:numPr>
        <w:spacing w:line="276" w:lineRule="auto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906C41" w:rsidRPr="00906C41" w:rsidRDefault="00906C41" w:rsidP="00C54FB2">
      <w:pPr>
        <w:spacing w:before="300" w:after="180" w:line="276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sz w:val="20"/>
          <w:szCs w:val="20"/>
          <w:lang w:eastAsia="pl-PL"/>
        </w:rPr>
        <w:t>W trakcie trwania umowy w uzasadnionym przypadku Zamawiający na wniosek mieszkańców może żądać zmiany harmonogramu wywozu odpadów komunalnych. Zamawiający dopuszcza możliwość zmian umowy w następującym zakresie i na określonych poniżej warunkach: Wystąpienie siły wyższej, za którą uważa się zdarzenia o charakterze nadzwyczajnym, występujące po zawarciu niniejszej umowy, a których strony nie były w stanie przewidzieć w momencie jej zawierania i których zaistnienie lub skutki uniemożliwiają wykonanie umowy zgodnie z jej treścią. Do działań siły wyższej strony zaliczają w szczególności: wojnę, działania wojenne, powódź, pożar, który nie powstał z winy Wykonawcy, epidemie, strajki z wyjątkiem strajków w zakładach Wykonawcy lub Zamawiającego. Strona powołująca się na stan siły wyższej jest zobowiązana do niezwłocznego pisemnego powiadomienia drugiej strony. Po ustąpieniu przeszkód w realizacji umowy spowodowanych zaistnieniem siły wyższej, Wykonawca zobowiązany jest dołożyć starań do nadrobienia zaległości powstałych w wyniku nieprzewidzianych zdarzeń. O ile stan siły wyższej trawa dłużej niż 3 miesiące, każda ze stron ma prawo do odstąpienia od dalszej realizacji umowy bez kar i odszkodowań z tego tytułu. Roszczenia powstałe przed zaistnieniem siły wyższej zostaną rozliczone pomiędzy stronami na dzień zaistnienia siły wyższej. Zmiany w zakresie rzeczowym usługi w trakcie realizacji przedmiotu umowy, związane z powstaniem nowych posesji, na których powstają odpady lub wyłączeniem z zakresu usługi posesji, na których odpady przestaną być wytwarzane i w związku z tym wydłużenie/skrócenie tras wywozu, zmiana polegająca na aktualizacji wykazu posesji, z których będą odbierane odpady komunalne. W przypadku wystąpienia okoliczności, których strony umowy nie były w stanie przewidzieć, pomimo zachowania należytej staranności, np. zmiana stawki VAT, zmiana osób uprawnionych do reprezentacji po stronie Zamawiającego lub Wykonawcy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www.bip.solec.pl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Urząd Gminy Solec nad Wisłą ul. Rynek 1 27 - 320 Solec nad Wisłą.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08.05.2013 godzina 08:30, miejsce: Urząd Gminy Solec nad Wisłą ul. Rynek 1 27 - 320 Solec nad Wisłą - sekretariat pokój nr 7.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906C41" w:rsidRPr="00906C41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C54FB2" w:rsidRDefault="00906C41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06C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06C41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C54FB2" w:rsidRDefault="00C54FB2" w:rsidP="00C54FB2">
      <w:pPr>
        <w:spacing w:line="276" w:lineRule="auto"/>
        <w:ind w:left="18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B2" w:rsidRDefault="00C54FB2" w:rsidP="00C54FB2">
      <w:pPr>
        <w:spacing w:line="276" w:lineRule="auto"/>
        <w:rPr>
          <w:rFonts w:ascii="Times New Roman" w:hAnsi="Times New Roman" w:cs="Times New Roman"/>
          <w:iCs/>
        </w:rPr>
      </w:pPr>
    </w:p>
    <w:p w:rsidR="00C54FB2" w:rsidRDefault="00C54FB2" w:rsidP="00C54FB2">
      <w:pPr>
        <w:spacing w:line="276" w:lineRule="auto"/>
        <w:rPr>
          <w:rFonts w:ascii="Times New Roman" w:hAnsi="Times New Roman" w:cs="Times New Roman"/>
          <w:iCs/>
        </w:rPr>
      </w:pPr>
    </w:p>
    <w:p w:rsidR="00C54FB2" w:rsidRDefault="00C54FB2" w:rsidP="00C54FB2">
      <w:pPr>
        <w:spacing w:line="276" w:lineRule="auto"/>
        <w:rPr>
          <w:rFonts w:ascii="Times New Roman" w:hAnsi="Times New Roman" w:cs="Times New Roman"/>
          <w:iCs/>
        </w:rPr>
      </w:pPr>
    </w:p>
    <w:p w:rsidR="00C54FB2" w:rsidRPr="00C54FB2" w:rsidRDefault="00C54FB2" w:rsidP="00C54FB2">
      <w:pPr>
        <w:spacing w:line="276" w:lineRule="auto"/>
        <w:rPr>
          <w:rFonts w:ascii="Times New Roman" w:hAnsi="Times New Roman" w:cs="Times New Roman"/>
          <w:iCs/>
        </w:rPr>
      </w:pPr>
      <w:r w:rsidRPr="00C54FB2">
        <w:rPr>
          <w:rFonts w:ascii="Times New Roman" w:hAnsi="Times New Roman" w:cs="Times New Roman"/>
          <w:iCs/>
        </w:rPr>
        <w:t xml:space="preserve">Ogłoszenie zostało zamieszczone na stronie internetowej </w:t>
      </w:r>
      <w:hyperlink r:id="rId7" w:history="1">
        <w:r w:rsidRPr="00C54FB2">
          <w:rPr>
            <w:rStyle w:val="Hipercze"/>
            <w:rFonts w:ascii="Times New Roman" w:hAnsi="Times New Roman" w:cs="Times New Roman"/>
            <w:iCs/>
          </w:rPr>
          <w:t>www.bip.solec.pl</w:t>
        </w:r>
      </w:hyperlink>
      <w:r w:rsidRPr="00C54FB2">
        <w:rPr>
          <w:rFonts w:ascii="Times New Roman" w:hAnsi="Times New Roman" w:cs="Times New Roman"/>
          <w:iCs/>
        </w:rPr>
        <w:t xml:space="preserve"> dnia …………………….</w:t>
      </w:r>
    </w:p>
    <w:p w:rsidR="00C54FB2" w:rsidRPr="00C54FB2" w:rsidRDefault="00C54FB2" w:rsidP="00C54FB2">
      <w:pPr>
        <w:spacing w:line="276" w:lineRule="auto"/>
        <w:rPr>
          <w:rFonts w:ascii="Times New Roman" w:hAnsi="Times New Roman" w:cs="Times New Roman"/>
          <w:iCs/>
        </w:rPr>
      </w:pPr>
      <w:r w:rsidRPr="00C54FB2">
        <w:rPr>
          <w:rFonts w:ascii="Times New Roman" w:hAnsi="Times New Roman" w:cs="Times New Roman"/>
          <w:iCs/>
        </w:rPr>
        <w:t>oraz na tablicy ogłoszeń w Urzędzie Gminy w Solcu nad Wisłą w dniu ……………………..…</w:t>
      </w:r>
    </w:p>
    <w:p w:rsidR="00C54FB2" w:rsidRPr="00C54FB2" w:rsidRDefault="00C54FB2" w:rsidP="00C54FB2">
      <w:pPr>
        <w:spacing w:line="276" w:lineRule="auto"/>
        <w:rPr>
          <w:rFonts w:ascii="Times New Roman" w:hAnsi="Times New Roman" w:cs="Times New Roman"/>
          <w:iCs/>
        </w:rPr>
        <w:sectPr w:rsidR="00C54FB2" w:rsidRPr="00C54FB2" w:rsidSect="008478C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Cs/>
        </w:rPr>
        <w:t>zdjęto dnia …………………</w:t>
      </w:r>
    </w:p>
    <w:p w:rsidR="00906C41" w:rsidRPr="00C54FB2" w:rsidRDefault="00906C41" w:rsidP="00C54FB2">
      <w:pPr>
        <w:spacing w:line="276" w:lineRule="auto"/>
        <w:rPr>
          <w:rFonts w:ascii="Times New Roman" w:hAnsi="Times New Roman" w:cs="Times New Roman"/>
          <w:iCs/>
        </w:rPr>
      </w:pPr>
    </w:p>
    <w:sectPr w:rsidR="00906C41" w:rsidRPr="00C54FB2" w:rsidSect="00C54FB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C3" w:rsidRDefault="00C973C3" w:rsidP="00906C41">
      <w:r>
        <w:separator/>
      </w:r>
    </w:p>
  </w:endnote>
  <w:endnote w:type="continuationSeparator" w:id="0">
    <w:p w:rsidR="00C973C3" w:rsidRDefault="00C973C3" w:rsidP="0090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8878"/>
      <w:docPartObj>
        <w:docPartGallery w:val="Page Numbers (Bottom of Page)"/>
        <w:docPartUnique/>
      </w:docPartObj>
    </w:sdtPr>
    <w:sdtContent>
      <w:p w:rsidR="00B415C3" w:rsidRDefault="00B415C3">
        <w:pPr>
          <w:pStyle w:val="Stopka"/>
          <w:jc w:val="right"/>
        </w:pPr>
        <w:fldSimple w:instr=" PAGE   \* MERGEFORMAT ">
          <w:r w:rsidR="001D0146">
            <w:rPr>
              <w:noProof/>
            </w:rPr>
            <w:t>1</w:t>
          </w:r>
        </w:fldSimple>
      </w:p>
    </w:sdtContent>
  </w:sdt>
  <w:p w:rsidR="00B415C3" w:rsidRDefault="00B415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C3" w:rsidRDefault="00C973C3" w:rsidP="00906C41">
      <w:r>
        <w:separator/>
      </w:r>
    </w:p>
  </w:footnote>
  <w:footnote w:type="continuationSeparator" w:id="0">
    <w:p w:rsidR="00C973C3" w:rsidRDefault="00C973C3" w:rsidP="00906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5614"/>
    <w:multiLevelType w:val="multilevel"/>
    <w:tmpl w:val="0ED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C6252"/>
    <w:multiLevelType w:val="multilevel"/>
    <w:tmpl w:val="5166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F065FF"/>
    <w:multiLevelType w:val="multilevel"/>
    <w:tmpl w:val="59FC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14CD4"/>
    <w:multiLevelType w:val="multilevel"/>
    <w:tmpl w:val="51CA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22AFD"/>
    <w:multiLevelType w:val="multilevel"/>
    <w:tmpl w:val="C2C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C6057C"/>
    <w:multiLevelType w:val="multilevel"/>
    <w:tmpl w:val="285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607A2"/>
    <w:multiLevelType w:val="multilevel"/>
    <w:tmpl w:val="25A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C41"/>
    <w:rsid w:val="001D0146"/>
    <w:rsid w:val="00596C95"/>
    <w:rsid w:val="008478C3"/>
    <w:rsid w:val="0089149C"/>
    <w:rsid w:val="008F72F7"/>
    <w:rsid w:val="00906C41"/>
    <w:rsid w:val="00B415C3"/>
    <w:rsid w:val="00C54FB2"/>
    <w:rsid w:val="00C973C3"/>
    <w:rsid w:val="00D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6C41"/>
    <w:pPr>
      <w:ind w:left="18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06C41"/>
    <w:pPr>
      <w:spacing w:line="420" w:lineRule="atLeast"/>
      <w:ind w:left="180" w:firstLine="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06C41"/>
    <w:pPr>
      <w:spacing w:before="300" w:after="18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06C41"/>
    <w:pPr>
      <w:ind w:left="180" w:firstLine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6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C41"/>
  </w:style>
  <w:style w:type="paragraph" w:styleId="Stopka">
    <w:name w:val="footer"/>
    <w:basedOn w:val="Normalny"/>
    <w:link w:val="StopkaZnak"/>
    <w:uiPriority w:val="99"/>
    <w:unhideWhenUsed/>
    <w:rsid w:val="00906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C41"/>
  </w:style>
  <w:style w:type="paragraph" w:styleId="Tekstdymka">
    <w:name w:val="Balloon Text"/>
    <w:basedOn w:val="Normalny"/>
    <w:link w:val="TekstdymkaZnak"/>
    <w:uiPriority w:val="99"/>
    <w:semiHidden/>
    <w:unhideWhenUsed/>
    <w:rsid w:val="00906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6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o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375B"/>
    <w:rsid w:val="0003375B"/>
    <w:rsid w:val="00A0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F762AC1D97495DB3B0BD433D4D0128">
    <w:name w:val="B5F762AC1D97495DB3B0BD433D4D0128"/>
    <w:rsid w:val="000337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3165</Words>
  <Characters>18991</Characters>
  <Application>Microsoft Office Word</Application>
  <DocSecurity>0</DocSecurity>
  <Lines>158</Lines>
  <Paragraphs>44</Paragraphs>
  <ScaleCrop>false</ScaleCrop>
  <Company>UGS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5</cp:revision>
  <dcterms:created xsi:type="dcterms:W3CDTF">2013-04-25T13:05:00Z</dcterms:created>
  <dcterms:modified xsi:type="dcterms:W3CDTF">2013-04-25T13:11:00Z</dcterms:modified>
</cp:coreProperties>
</file>